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693F" w14:textId="77777777" w:rsidR="00C67A92" w:rsidRPr="00111E8A" w:rsidRDefault="00C67A92" w:rsidP="00C67A92">
      <w:pPr>
        <w:pStyle w:val="Potsikko"/>
      </w:pPr>
      <w:r>
        <w:t>V</w:t>
      </w:r>
      <w:r w:rsidRPr="00111E8A">
        <w:t xml:space="preserve">arjo- / tehosteaineen, lääkkeen ja radiolääkkeen sekä komplikaation kirjaaminen </w:t>
      </w:r>
    </w:p>
    <w:p w14:paraId="644C721F" w14:textId="77777777" w:rsidR="00C67A92" w:rsidRPr="00E239A4" w:rsidRDefault="00C67A92" w:rsidP="00C67A92">
      <w:pPr>
        <w:jc w:val="both"/>
      </w:pPr>
      <w:r>
        <w:t>Varjo- ja tehoste</w:t>
      </w:r>
      <w:r w:rsidRPr="00E239A4">
        <w:t>aineen</w:t>
      </w:r>
      <w:r>
        <w:t xml:space="preserve"> sekä </w:t>
      </w:r>
      <w:r w:rsidRPr="00E239A4">
        <w:t>lääk</w:t>
      </w:r>
      <w:r>
        <w:t>ke</w:t>
      </w:r>
      <w:r w:rsidRPr="00E239A4">
        <w:t>e</w:t>
      </w:r>
      <w:r>
        <w:t>n ja radiolääkkeen</w:t>
      </w:r>
      <w:r w:rsidRPr="00E239A4">
        <w:t xml:space="preserve"> käytön </w:t>
      </w:r>
      <w:r>
        <w:t>ja</w:t>
      </w:r>
      <w:r w:rsidRPr="00E239A4">
        <w:t xml:space="preserve"> komplikaatioiden </w:t>
      </w:r>
      <w:r>
        <w:t xml:space="preserve">kirjaamisen </w:t>
      </w:r>
      <w:r w:rsidRPr="00E239A4">
        <w:t xml:space="preserve">peruste on turvallisen hoidon toteuttaminen. </w:t>
      </w:r>
    </w:p>
    <w:p w14:paraId="4AE7D46A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t xml:space="preserve">Radiologinen tietojärjestelmä </w:t>
      </w:r>
    </w:p>
    <w:p w14:paraId="3ACCC0B9" w14:textId="77777777" w:rsidR="00C67A92" w:rsidRDefault="00C67A92" w:rsidP="00C67A92">
      <w:pPr>
        <w:jc w:val="both"/>
      </w:pPr>
      <w:r>
        <w:t>”</w:t>
      </w:r>
      <w:r w:rsidRPr="00D33516">
        <w:t>Kuvaus</w:t>
      </w:r>
      <w:r>
        <w:t>”</w:t>
      </w:r>
      <w:r w:rsidRPr="00D33516">
        <w:t>-välilehdellä valit</w:t>
      </w:r>
      <w:r>
        <w:t>aan</w:t>
      </w:r>
      <w:r w:rsidRPr="00D33516">
        <w:t xml:space="preserve"> hakutoiminnon avulla </w:t>
      </w:r>
      <w:r>
        <w:t>”</w:t>
      </w:r>
      <w:r w:rsidRPr="00D33516">
        <w:t>Lisää lääke/tarvik</w:t>
      </w:r>
      <w:r>
        <w:t>e” – valikosta radiolääke, lääke-</w:t>
      </w:r>
      <w:r w:rsidRPr="00D33516">
        <w:t xml:space="preserve">, tehoste- tai varjoaine, jossa on oikea pitoisuus. Lisäksi </w:t>
      </w:r>
      <w:r>
        <w:t>kirjataan</w:t>
      </w:r>
      <w:r w:rsidRPr="00D33516">
        <w:t xml:space="preserve"> annoksen (määrä</w:t>
      </w:r>
      <w:r>
        <w:t>/aktiivisuus ja yksikkö) sekä antoaika</w:t>
      </w:r>
      <w:r w:rsidRPr="00D33516">
        <w:t>.</w:t>
      </w:r>
    </w:p>
    <w:p w14:paraId="5C0A475B" w14:textId="77777777" w:rsidR="00C67A92" w:rsidRPr="00E239A4" w:rsidRDefault="00C67A92" w:rsidP="00C67A92">
      <w:pPr>
        <w:spacing w:line="120" w:lineRule="auto"/>
        <w:jc w:val="both"/>
      </w:pPr>
    </w:p>
    <w:p w14:paraId="11605936" w14:textId="7ABDAFF9" w:rsidR="00C67A92" w:rsidRPr="00E239A4" w:rsidRDefault="00C67A92" w:rsidP="00C67A92">
      <w:pPr>
        <w:jc w:val="both"/>
      </w:pPr>
      <w:r>
        <w:t>”</w:t>
      </w:r>
      <w:r w:rsidRPr="00E239A4">
        <w:t>Komplikaatio</w:t>
      </w:r>
      <w:r>
        <w:t>”</w:t>
      </w:r>
      <w:r w:rsidRPr="00E239A4">
        <w:t xml:space="preserve">-sarakkeeseen </w:t>
      </w:r>
      <w:r>
        <w:t>kirjataan</w:t>
      </w:r>
      <w:r w:rsidRPr="00E239A4">
        <w:t xml:space="preserve"> komplikaation laa</w:t>
      </w:r>
      <w:r>
        <w:t xml:space="preserve">tu </w:t>
      </w:r>
      <w:hyperlink r:id="rId12" w:history="1">
        <w:r w:rsidRPr="00940885">
          <w:rPr>
            <w:rStyle w:val="Hyperlinkki"/>
          </w:rPr>
          <w:t>luokit</w:t>
        </w:r>
        <w:r w:rsidR="004C108F">
          <w:rPr>
            <w:rStyle w:val="Hyperlinkki"/>
          </w:rPr>
          <w:t>uksen</w:t>
        </w:r>
      </w:hyperlink>
      <w:r>
        <w:t xml:space="preserve"> mukaisesti</w:t>
      </w:r>
      <w:r w:rsidRPr="00E239A4">
        <w:t xml:space="preserve"> (esim. </w:t>
      </w:r>
      <w:r>
        <w:t>”yliherkkyysreaktio</w:t>
      </w:r>
      <w:r w:rsidRPr="00E239A4">
        <w:t xml:space="preserve">, </w:t>
      </w:r>
      <w:r>
        <w:t>varjoaine, lievä”, ”</w:t>
      </w:r>
      <w:r w:rsidRPr="00E239A4">
        <w:t>suonen ulko</w:t>
      </w:r>
      <w:r>
        <w:t>inen injektio”)</w:t>
      </w:r>
      <w:r w:rsidRPr="00E239A4">
        <w:t xml:space="preserve">. </w:t>
      </w:r>
      <w:r>
        <w:t xml:space="preserve">Mikäli radiolääkeinjektio epäonnistuu ja </w:t>
      </w:r>
      <w:proofErr w:type="spellStart"/>
      <w:r>
        <w:t>extravasaatio</w:t>
      </w:r>
      <w:proofErr w:type="spellEnd"/>
      <w:r>
        <w:t xml:space="preserve"> voi aiheuttaa suuren, yli 20 Gy sädeannoksen, kirjataan radioaktiivisuuden määrä, mittaustulokset ja jatkotoimenpiteet </w:t>
      </w:r>
      <w:r w:rsidRPr="00F56B1E">
        <w:t xml:space="preserve">radiologisen tietojärjestelmän </w:t>
      </w:r>
      <w:r>
        <w:t>”</w:t>
      </w:r>
      <w:r w:rsidRPr="00F56B1E">
        <w:t>Kuvaus</w:t>
      </w:r>
      <w:r>
        <w:t>”–</w:t>
      </w:r>
      <w:r w:rsidRPr="00F56B1E">
        <w:t xml:space="preserve">välilehdelle </w:t>
      </w:r>
      <w:r>
        <w:t>”</w:t>
      </w:r>
      <w:r w:rsidRPr="00F56B1E">
        <w:t>Valmistelu</w:t>
      </w:r>
      <w:r>
        <w:t>”</w:t>
      </w:r>
      <w:r w:rsidRPr="00F56B1E">
        <w:t xml:space="preserve"> –kohtaan.</w:t>
      </w:r>
    </w:p>
    <w:p w14:paraId="33A55B34" w14:textId="336B2B9C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t>Hoitosuunnitelma, HOI-</w:t>
      </w:r>
      <w:r w:rsidRPr="00C67A92">
        <w:rPr>
          <w:rFonts w:ascii="Trebuchet MS" w:hAnsi="Trebuchet MS"/>
          <w:color w:val="auto"/>
        </w:rPr>
        <w:t xml:space="preserve">, </w:t>
      </w:r>
      <w:proofErr w:type="spellStart"/>
      <w:r w:rsidRPr="00C67A92">
        <w:rPr>
          <w:rFonts w:ascii="Trebuchet MS" w:hAnsi="Trebuchet MS"/>
          <w:color w:val="auto"/>
        </w:rPr>
        <w:t>Hoitu</w:t>
      </w:r>
      <w:proofErr w:type="spellEnd"/>
      <w:r w:rsidRPr="00C67A92">
        <w:rPr>
          <w:rFonts w:ascii="Trebuchet MS" w:hAnsi="Trebuchet MS"/>
          <w:color w:val="auto"/>
        </w:rPr>
        <w:t>-lehti</w:t>
      </w:r>
      <w:r w:rsidRPr="00C67A92">
        <w:rPr>
          <w:rFonts w:ascii="Trebuchet MS" w:hAnsi="Trebuchet MS"/>
          <w:color w:val="auto"/>
        </w:rPr>
        <w:t>, lääkehoitosuunnitelma tai tms.</w:t>
      </w:r>
    </w:p>
    <w:p w14:paraId="69A8B1EE" w14:textId="3174C9DA" w:rsidR="00C67A92" w:rsidRDefault="00C67A92" w:rsidP="00C67A92">
      <w:pPr>
        <w:jc w:val="both"/>
      </w:pPr>
      <w:r>
        <w:t>Potilastietojärjestelmään</w:t>
      </w:r>
      <w:r w:rsidRPr="00B65CA4">
        <w:t xml:space="preserve"> </w:t>
      </w:r>
      <w:r>
        <w:t>kirjataan</w:t>
      </w:r>
      <w:r w:rsidRPr="00B65CA4">
        <w:t xml:space="preserve"> </w:t>
      </w:r>
      <w:r>
        <w:t xml:space="preserve">radiologisessa tutkimuksessa/toimenpiteessä </w:t>
      </w:r>
      <w:r w:rsidRPr="00B65CA4">
        <w:t>annetun varjo-/tehosteaineen sekä lääkkeen nim</w:t>
      </w:r>
      <w:r>
        <w:t>i ja määrä</w:t>
      </w:r>
      <w:r w:rsidRPr="00B65CA4">
        <w:t>. Lisäksi kirja</w:t>
      </w:r>
      <w:r>
        <w:t>t</w:t>
      </w:r>
      <w:r w:rsidRPr="00B65CA4">
        <w:t>a</w:t>
      </w:r>
      <w:r>
        <w:t>an</w:t>
      </w:r>
      <w:r w:rsidRPr="00B65CA4">
        <w:t xml:space="preserve"> lääk</w:t>
      </w:r>
      <w:r>
        <w:t>keen</w:t>
      </w:r>
      <w:r w:rsidRPr="00B65CA4">
        <w:t xml:space="preserve"> määrääjän</w:t>
      </w:r>
      <w:r>
        <w:t xml:space="preserve"> nimi</w:t>
      </w:r>
      <w:r w:rsidRPr="00B65CA4">
        <w:t>.</w:t>
      </w:r>
      <w:r>
        <w:t xml:space="preserve"> Isotooppihoidoissa kirjataan radiolääkkeen nimi ja aktiivisuus sekä antotapa ja –aika ja mukana olleen lääkärin nimi. Kirjaajan</w:t>
      </w:r>
      <w:r w:rsidRPr="00B65CA4">
        <w:t xml:space="preserve"> nimi, </w:t>
      </w:r>
      <w:r>
        <w:t>päivämäärä ja kellonaika kirjautuvat</w:t>
      </w:r>
      <w:r w:rsidRPr="00B65CA4">
        <w:t xml:space="preserve"> automaattisesti tallennuksen yhteydessä. </w:t>
      </w:r>
    </w:p>
    <w:p w14:paraId="07BEE1B7" w14:textId="77777777" w:rsidR="00C67A92" w:rsidRDefault="00C67A92" w:rsidP="00C67A92">
      <w:pPr>
        <w:spacing w:line="120" w:lineRule="auto"/>
        <w:jc w:val="both"/>
      </w:pPr>
    </w:p>
    <w:p w14:paraId="40E5CC53" w14:textId="77777777" w:rsidR="00C67A92" w:rsidRDefault="00C67A92" w:rsidP="00C67A92">
      <w:pPr>
        <w:jc w:val="both"/>
      </w:pPr>
      <w:r>
        <w:t>Komplikaation sattuessa kirjataan</w:t>
      </w:r>
      <w:r w:rsidRPr="00B65CA4">
        <w:t xml:space="preserve"> komplikaation laa</w:t>
      </w:r>
      <w:r>
        <w:t>tu</w:t>
      </w:r>
      <w:r w:rsidRPr="00B65CA4">
        <w:t xml:space="preserve"> (esim. allerginen reaktio, suonen ulkoinen injektio), vakavuu</w:t>
      </w:r>
      <w:r>
        <w:t>s</w:t>
      </w:r>
      <w:r w:rsidRPr="00B65CA4">
        <w:t>, oireet, a</w:t>
      </w:r>
      <w:r>
        <w:t>nnetut lääkkeet, niiden vaikutu</w:t>
      </w:r>
      <w:r w:rsidRPr="00B65CA4">
        <w:t xml:space="preserve">s </w:t>
      </w:r>
      <w:r>
        <w:t>ja</w:t>
      </w:r>
      <w:r w:rsidRPr="00B65CA4">
        <w:t xml:space="preserve"> määr</w:t>
      </w:r>
      <w:r>
        <w:t xml:space="preserve">ääjä sekä jatkohoito. Lisäksi isotooppitutkimuksissa kirjataan annetun radiolääkkeen nimi ja aktiivisuus. </w:t>
      </w:r>
    </w:p>
    <w:p w14:paraId="012B1684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t xml:space="preserve">Seuranta- ja jälkihoitokaavake </w:t>
      </w:r>
    </w:p>
    <w:p w14:paraId="6D0B675E" w14:textId="6675ADF6" w:rsidR="00C67A92" w:rsidRPr="00E239A4" w:rsidRDefault="00C67A92" w:rsidP="00C67A92">
      <w:pPr>
        <w:jc w:val="both"/>
      </w:pPr>
      <w:r>
        <w:t>Jos potilastietojärjestelmää ei avata, p</w:t>
      </w:r>
      <w:r w:rsidRPr="00E239A4">
        <w:t>otilaalle</w:t>
      </w:r>
      <w:r>
        <w:t xml:space="preserve"> annetaan </w:t>
      </w:r>
      <w:r w:rsidRPr="00E239A4">
        <w:t xml:space="preserve">mukaan </w:t>
      </w:r>
      <w:r>
        <w:t>seuranta-/jälkihoitokaavake tai varjoainetiedote</w:t>
      </w:r>
      <w:r w:rsidRPr="00E239A4">
        <w:rPr>
          <w:b/>
        </w:rPr>
        <w:t>,</w:t>
      </w:r>
      <w:r w:rsidRPr="00E239A4">
        <w:t xml:space="preserve"> josta ilmenee</w:t>
      </w:r>
      <w:r>
        <w:t xml:space="preserve"> </w:t>
      </w:r>
      <w:r w:rsidRPr="00E239A4">
        <w:t>varjo-/tehosteaineen</w:t>
      </w:r>
      <w:r>
        <w:t xml:space="preserve">/radiolääkkeen/lääkkeen nimi ja </w:t>
      </w:r>
      <w:r w:rsidRPr="00E239A4">
        <w:t xml:space="preserve">määrä, kellonaika, mahdollinen komplikaatio lääkityksineen, jatkohoito </w:t>
      </w:r>
      <w:r>
        <w:t>sekä</w:t>
      </w:r>
      <w:r w:rsidRPr="00E239A4">
        <w:t xml:space="preserve"> yhteydenottotiedot ongelmatilanteiden varalta. </w:t>
      </w:r>
    </w:p>
    <w:p w14:paraId="5B457634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t>Röntgen-/isotooppilausunto</w:t>
      </w:r>
    </w:p>
    <w:p w14:paraId="12D495D7" w14:textId="77777777" w:rsidR="00C67A92" w:rsidRPr="00E239A4" w:rsidRDefault="00C67A92" w:rsidP="00C67A92">
      <w:pPr>
        <w:jc w:val="both"/>
      </w:pPr>
      <w:r>
        <w:t>Lääkäri</w:t>
      </w:r>
      <w:r w:rsidRPr="00E239A4">
        <w:t xml:space="preserve"> sanelee lausuntoon, onko tutkimus tehty varjo- tai tehosteaineella</w:t>
      </w:r>
      <w:r>
        <w:t xml:space="preserve"> sekä isotooppihoidoissa käytetyn radiolääkkeen nimen ja annoksen. </w:t>
      </w:r>
      <w:r w:rsidRPr="00E239A4">
        <w:t xml:space="preserve">Mikäli tutkimuksessa on tullut komplikaatio, </w:t>
      </w:r>
      <w:r>
        <w:t>lääkäri sane</w:t>
      </w:r>
      <w:r w:rsidRPr="00E239A4">
        <w:t>l</w:t>
      </w:r>
      <w:r>
        <w:t>ee</w:t>
      </w:r>
      <w:r w:rsidRPr="00E239A4">
        <w:t xml:space="preserve"> varjo-/</w:t>
      </w:r>
      <w:r>
        <w:t>tehosteaineen/radiolääkkeen nimen</w:t>
      </w:r>
      <w:r w:rsidRPr="00E239A4">
        <w:t xml:space="preserve"> ja määrä</w:t>
      </w:r>
      <w:r>
        <w:t>n</w:t>
      </w:r>
      <w:r w:rsidRPr="00E239A4">
        <w:t>, komplikaation laa</w:t>
      </w:r>
      <w:r>
        <w:t>dun</w:t>
      </w:r>
      <w:r w:rsidRPr="00E239A4">
        <w:t xml:space="preserve"> (esim. allerginen reaktio, suonen ulkoinen injektio), vakavuu</w:t>
      </w:r>
      <w:r>
        <w:t>den</w:t>
      </w:r>
      <w:r w:rsidRPr="00E239A4">
        <w:t>, oireet, annet</w:t>
      </w:r>
      <w:r>
        <w:t>ut lääkkeet</w:t>
      </w:r>
      <w:r w:rsidRPr="00E239A4">
        <w:t xml:space="preserve"> ja jatkohoi</w:t>
      </w:r>
      <w:r>
        <w:t>don</w:t>
      </w:r>
      <w:r w:rsidRPr="00E239A4">
        <w:t xml:space="preserve">. </w:t>
      </w:r>
    </w:p>
    <w:p w14:paraId="0BDBBAD2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proofErr w:type="spellStart"/>
      <w:r w:rsidRPr="00C67A92">
        <w:rPr>
          <w:rFonts w:ascii="Trebuchet MS" w:hAnsi="Trebuchet MS"/>
          <w:color w:val="auto"/>
        </w:rPr>
        <w:t>HaiPro</w:t>
      </w:r>
      <w:proofErr w:type="spellEnd"/>
      <w:r w:rsidRPr="00C67A92">
        <w:rPr>
          <w:rFonts w:ascii="Trebuchet MS" w:hAnsi="Trebuchet MS"/>
          <w:color w:val="auto"/>
        </w:rPr>
        <w:t>-ilmoitus</w:t>
      </w:r>
    </w:p>
    <w:p w14:paraId="079AC4F6" w14:textId="4B9FB093" w:rsidR="00C67A92" w:rsidRDefault="00C67A92" w:rsidP="00C67A92">
      <w:pPr>
        <w:jc w:val="both"/>
      </w:pPr>
      <w:r w:rsidRPr="00182B55">
        <w:t>Potilaita (saattajia) kohdanneet vaara-/haittatapahtumat (esim. tapaturma</w:t>
      </w:r>
      <w:r>
        <w:t>,</w:t>
      </w:r>
      <w:r w:rsidRPr="009F2ECF">
        <w:t xml:space="preserve"> </w:t>
      </w:r>
      <w:proofErr w:type="spellStart"/>
      <w:r>
        <w:t>ekstravasaatio</w:t>
      </w:r>
      <w:proofErr w:type="spellEnd"/>
      <w:r w:rsidRPr="00182B55">
        <w:t xml:space="preserve">) ja ”läheltä piti” -tilanteet ilmoitetaan </w:t>
      </w:r>
      <w:proofErr w:type="spellStart"/>
      <w:r w:rsidRPr="00182B55">
        <w:t>HaiPro</w:t>
      </w:r>
      <w:proofErr w:type="spellEnd"/>
      <w:r w:rsidRPr="00182B55">
        <w:t>-järjestelmässä.</w:t>
      </w:r>
    </w:p>
    <w:p w14:paraId="5782D8F6" w14:textId="77777777" w:rsidR="00C67A92" w:rsidRPr="00E239A4" w:rsidRDefault="00C67A92" w:rsidP="00C67A92">
      <w:pPr>
        <w:jc w:val="both"/>
      </w:pPr>
    </w:p>
    <w:p w14:paraId="51CA316A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lastRenderedPageBreak/>
        <w:t xml:space="preserve">Riskitiedot </w:t>
      </w:r>
    </w:p>
    <w:p w14:paraId="54D6A226" w14:textId="77777777" w:rsidR="00C67A92" w:rsidRPr="00E239A4" w:rsidRDefault="00C67A92" w:rsidP="00C67A92">
      <w:pPr>
        <w:jc w:val="both"/>
      </w:pPr>
      <w:r w:rsidRPr="00E239A4">
        <w:t xml:space="preserve">Potilaskohtaisiin riskitietoihin </w:t>
      </w:r>
      <w:r>
        <w:t xml:space="preserve">kirjataan </w:t>
      </w:r>
      <w:r w:rsidRPr="00E239A4">
        <w:t>lääkeainereaktiot ja muut komplikaatiot, jotka tulevaisuudessa voivat aiheuttaa hengenvaaran tai muun huomattavan riskin potilaan terveydelle.</w:t>
      </w:r>
    </w:p>
    <w:p w14:paraId="211F0290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t xml:space="preserve">Valmistaja ja apteekki </w:t>
      </w:r>
    </w:p>
    <w:p w14:paraId="3DB22574" w14:textId="77777777" w:rsidR="00C67A92" w:rsidRDefault="00C67A92" w:rsidP="00C67A92">
      <w:pPr>
        <w:jc w:val="both"/>
        <w:rPr>
          <w:b/>
        </w:rPr>
      </w:pPr>
      <w:r w:rsidRPr="00E239A4">
        <w:t xml:space="preserve">Mikäli sama </w:t>
      </w:r>
      <w:r>
        <w:t>radiolääke/</w:t>
      </w:r>
      <w:r w:rsidRPr="00E239A4">
        <w:t>varjo-/tehosteaine</w:t>
      </w:r>
      <w:r>
        <w:t xml:space="preserve"> </w:t>
      </w:r>
      <w:r w:rsidRPr="00E239A4">
        <w:t>(-erä) aiheuttaa useita peräkkäisiä reaktioita, ilmo</w:t>
      </w:r>
      <w:r>
        <w:t xml:space="preserve">itetaan asiasta apteekkiin ja </w:t>
      </w:r>
      <w:r w:rsidRPr="00E239A4">
        <w:t>aineen valmistajalle</w:t>
      </w:r>
      <w:r w:rsidRPr="00E239A4">
        <w:rPr>
          <w:b/>
        </w:rPr>
        <w:t xml:space="preserve"> </w:t>
      </w:r>
      <w:r w:rsidRPr="00E239A4">
        <w:t>(pullot/eränumerot säilytetään)</w:t>
      </w:r>
      <w:r w:rsidRPr="00E239A4">
        <w:rPr>
          <w:b/>
        </w:rPr>
        <w:t xml:space="preserve">. </w:t>
      </w:r>
    </w:p>
    <w:p w14:paraId="7653B67E" w14:textId="77777777" w:rsidR="00C67A92" w:rsidRPr="00E239A4" w:rsidRDefault="00C67A92" w:rsidP="00C67A92">
      <w:pPr>
        <w:jc w:val="both"/>
      </w:pPr>
    </w:p>
    <w:p w14:paraId="048CFA6F" w14:textId="77777777" w:rsidR="00C67A92" w:rsidRPr="00C67A92" w:rsidRDefault="00C67A92" w:rsidP="00C67A92">
      <w:pPr>
        <w:pStyle w:val="Otsikko40"/>
        <w:rPr>
          <w:rFonts w:ascii="Trebuchet MS" w:hAnsi="Trebuchet MS"/>
          <w:color w:val="auto"/>
        </w:rPr>
      </w:pPr>
      <w:r w:rsidRPr="00C67A92">
        <w:rPr>
          <w:rFonts w:ascii="Trebuchet MS" w:hAnsi="Trebuchet MS"/>
          <w:color w:val="auto"/>
        </w:rPr>
        <w:t xml:space="preserve">Fimea </w:t>
      </w:r>
    </w:p>
    <w:p w14:paraId="48FC16BA" w14:textId="77777777" w:rsidR="0001074B" w:rsidRPr="002410EB" w:rsidRDefault="00C67A92" w:rsidP="0001074B">
      <w:pPr>
        <w:jc w:val="both"/>
      </w:pPr>
      <w:r w:rsidRPr="00E239A4">
        <w:t xml:space="preserve">Vakavista varjo-/tehoste- tai lääkeainereaktioista </w:t>
      </w:r>
      <w:r w:rsidR="0001074B">
        <w:t>tehdään</w:t>
      </w:r>
      <w:r>
        <w:t xml:space="preserve"> ilmoitu</w:t>
      </w:r>
      <w:r w:rsidR="0001074B">
        <w:t>s</w:t>
      </w:r>
      <w:r w:rsidRPr="00E239A4">
        <w:t xml:space="preserve"> Fimealle (lääkealan turvallisuus- ja kehittämiskeskus). </w:t>
      </w:r>
      <w:r>
        <w:t>Ilmoituksen voi tehdä</w:t>
      </w:r>
      <w:r w:rsidRPr="00E239A4">
        <w:t xml:space="preserve"> </w:t>
      </w:r>
      <w:r w:rsidR="0001074B">
        <w:t xml:space="preserve">joko </w:t>
      </w:r>
      <w:hyperlink r:id="rId13" w:history="1">
        <w:r w:rsidR="0001074B" w:rsidRPr="002410EB">
          <w:rPr>
            <w:rStyle w:val="Hyperlinkki"/>
          </w:rPr>
          <w:t>sähköisesti</w:t>
        </w:r>
      </w:hyperlink>
      <w:r w:rsidR="0001074B" w:rsidRPr="002410EB">
        <w:t xml:space="preserve"> (suositeltava ilmoitusmuoto) </w:t>
      </w:r>
      <w:r w:rsidR="0001074B" w:rsidRPr="00BA43C0">
        <w:t xml:space="preserve">tai </w:t>
      </w:r>
      <w:hyperlink r:id="rId14" w:history="1">
        <w:r w:rsidR="0001074B" w:rsidRPr="00BA43C0">
          <w:rPr>
            <w:rStyle w:val="Hyperlinkki"/>
            <w:rFonts w:cs="Arial"/>
            <w:bCs/>
            <w:color w:val="005BB0"/>
            <w:shd w:val="clear" w:color="auto" w:fill="FEFFFE"/>
          </w:rPr>
          <w:t>Fimean haittavaikutusilmoituslomakkeella (PDF)</w:t>
        </w:r>
      </w:hyperlink>
      <w:r w:rsidR="0001074B" w:rsidRPr="00BA43C0">
        <w:t>,</w:t>
      </w:r>
      <w:r w:rsidR="0001074B" w:rsidRPr="002410EB">
        <w:t xml:space="preserve"> jo</w:t>
      </w:r>
      <w:r w:rsidR="0001074B">
        <w:t>n</w:t>
      </w:r>
      <w:r w:rsidR="0001074B" w:rsidRPr="002410EB">
        <w:t xml:space="preserve">ka </w:t>
      </w:r>
      <w:r w:rsidR="0001074B" w:rsidRPr="006B57B8">
        <w:t xml:space="preserve">voi lähettää Fimean turvapostilla osoitteeseen </w:t>
      </w:r>
      <w:hyperlink r:id="rId15" w:history="1">
        <w:r w:rsidR="0001074B" w:rsidRPr="00AF14D5">
          <w:rPr>
            <w:rStyle w:val="Hyperlinkki"/>
          </w:rPr>
          <w:t>FIMEA.EV@fimea.fi</w:t>
        </w:r>
      </w:hyperlink>
      <w:r w:rsidR="0001074B">
        <w:t>. Sähköinen asiointi vaatii tunnistautumisen mobiilivarmenteella, verkkopankkitunnuksilla tai varmennekortilla (henkilökortti, organisaatiokortti, sosiaali- ja terveydenhuollon ammattikortti).</w:t>
      </w:r>
    </w:p>
    <w:p w14:paraId="0A00C1AE" w14:textId="77777777" w:rsidR="0001074B" w:rsidRPr="00E239A4" w:rsidRDefault="0001074B" w:rsidP="0001074B">
      <w:pPr>
        <w:jc w:val="both"/>
      </w:pPr>
    </w:p>
    <w:sectPr w:rsidR="0001074B" w:rsidRPr="00E239A4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23FBDC7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645A1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E1ACB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645A1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E1ACB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3764CF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E1ACB" w:rsidRPr="00CE1ACB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23764CF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E1ACB" w:rsidRPr="00CE1ACB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074611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49B9">
          <w:rPr>
            <w:sz w:val="16"/>
            <w:szCs w:val="16"/>
          </w:rPr>
          <w:t xml:space="preserve">Komplikaatioiden kirjaaminen ja ilmoittaminen </w:t>
        </w:r>
        <w:proofErr w:type="spellStart"/>
        <w:r w:rsidR="003F49B9">
          <w:rPr>
            <w:sz w:val="16"/>
            <w:szCs w:val="16"/>
          </w:rPr>
          <w:t>kuv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9E55AFE" w:rsidR="00BD1530" w:rsidRPr="004E7FC1" w:rsidRDefault="00CE1AC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C67A92">
            <w:rPr>
              <w:b/>
              <w:sz w:val="18"/>
              <w:szCs w:val="18"/>
            </w:rPr>
            <w:t>5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4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E6AE3DF" w:rsidR="000631E7" w:rsidRPr="004E7FC1" w:rsidRDefault="0005732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12.4.2024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96C20"/>
    <w:multiLevelType w:val="hybridMultilevel"/>
    <w:tmpl w:val="C9463DE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34F7FF3"/>
    <w:multiLevelType w:val="hybridMultilevel"/>
    <w:tmpl w:val="75EC7C46"/>
    <w:lvl w:ilvl="0" w:tplc="040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1471"/>
    <w:multiLevelType w:val="hybridMultilevel"/>
    <w:tmpl w:val="9122705E"/>
    <w:lvl w:ilvl="0" w:tplc="954880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856" w:hanging="360"/>
      </w:pPr>
    </w:lvl>
    <w:lvl w:ilvl="2" w:tplc="040B001B" w:tentative="1">
      <w:start w:val="1"/>
      <w:numFmt w:val="lowerRoman"/>
      <w:lvlText w:val="%3."/>
      <w:lvlJc w:val="right"/>
      <w:pPr>
        <w:ind w:left="1576" w:hanging="180"/>
      </w:pPr>
    </w:lvl>
    <w:lvl w:ilvl="3" w:tplc="040B000F" w:tentative="1">
      <w:start w:val="1"/>
      <w:numFmt w:val="decimal"/>
      <w:lvlText w:val="%4."/>
      <w:lvlJc w:val="left"/>
      <w:pPr>
        <w:ind w:left="2296" w:hanging="360"/>
      </w:pPr>
    </w:lvl>
    <w:lvl w:ilvl="4" w:tplc="040B0019" w:tentative="1">
      <w:start w:val="1"/>
      <w:numFmt w:val="lowerLetter"/>
      <w:lvlText w:val="%5."/>
      <w:lvlJc w:val="left"/>
      <w:pPr>
        <w:ind w:left="3016" w:hanging="360"/>
      </w:pPr>
    </w:lvl>
    <w:lvl w:ilvl="5" w:tplc="040B001B" w:tentative="1">
      <w:start w:val="1"/>
      <w:numFmt w:val="lowerRoman"/>
      <w:lvlText w:val="%6."/>
      <w:lvlJc w:val="right"/>
      <w:pPr>
        <w:ind w:left="3736" w:hanging="180"/>
      </w:pPr>
    </w:lvl>
    <w:lvl w:ilvl="6" w:tplc="040B000F" w:tentative="1">
      <w:start w:val="1"/>
      <w:numFmt w:val="decimal"/>
      <w:lvlText w:val="%7."/>
      <w:lvlJc w:val="left"/>
      <w:pPr>
        <w:ind w:left="4456" w:hanging="360"/>
      </w:pPr>
    </w:lvl>
    <w:lvl w:ilvl="7" w:tplc="040B0019" w:tentative="1">
      <w:start w:val="1"/>
      <w:numFmt w:val="lowerLetter"/>
      <w:lvlText w:val="%8."/>
      <w:lvlJc w:val="left"/>
      <w:pPr>
        <w:ind w:left="5176" w:hanging="360"/>
      </w:pPr>
    </w:lvl>
    <w:lvl w:ilvl="8" w:tplc="040B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436D07"/>
    <w:multiLevelType w:val="hybridMultilevel"/>
    <w:tmpl w:val="EFA2C3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5AAE"/>
    <w:multiLevelType w:val="singleLevel"/>
    <w:tmpl w:val="040B0001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04BAB"/>
    <w:multiLevelType w:val="hybridMultilevel"/>
    <w:tmpl w:val="93E08E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3E2908"/>
    <w:multiLevelType w:val="hybridMultilevel"/>
    <w:tmpl w:val="93CC7A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06D59"/>
    <w:multiLevelType w:val="hybridMultilevel"/>
    <w:tmpl w:val="70060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5" w15:restartNumberingAfterBreak="0">
    <w:nsid w:val="74413BE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4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9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3"/>
  </w:num>
  <w:num w:numId="19" w16cid:durableId="216013519">
    <w:abstractNumId w:val="6"/>
  </w:num>
  <w:num w:numId="20" w16cid:durableId="555318753">
    <w:abstractNumId w:val="17"/>
  </w:num>
  <w:num w:numId="21" w16cid:durableId="60032413">
    <w:abstractNumId w:val="25"/>
  </w:num>
  <w:num w:numId="22" w16cid:durableId="391735597">
    <w:abstractNumId w:val="8"/>
  </w:num>
  <w:num w:numId="23" w16cid:durableId="634603655">
    <w:abstractNumId w:val="5"/>
  </w:num>
  <w:num w:numId="24" w16cid:durableId="1245799136">
    <w:abstractNumId w:val="4"/>
  </w:num>
  <w:num w:numId="25" w16cid:durableId="2026788965">
    <w:abstractNumId w:val="20"/>
  </w:num>
  <w:num w:numId="26" w16cid:durableId="1496192409">
    <w:abstractNumId w:val="16"/>
  </w:num>
  <w:num w:numId="27" w16cid:durableId="302542824">
    <w:abstractNumId w:val="23"/>
  </w:num>
  <w:num w:numId="28" w16cid:durableId="16769573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074B"/>
    <w:rsid w:val="000172AC"/>
    <w:rsid w:val="000174DF"/>
    <w:rsid w:val="00027998"/>
    <w:rsid w:val="00030AEA"/>
    <w:rsid w:val="00032897"/>
    <w:rsid w:val="00045D9E"/>
    <w:rsid w:val="00046574"/>
    <w:rsid w:val="000565F1"/>
    <w:rsid w:val="00057328"/>
    <w:rsid w:val="000631E7"/>
    <w:rsid w:val="00074611"/>
    <w:rsid w:val="001075B7"/>
    <w:rsid w:val="0010766A"/>
    <w:rsid w:val="00122EED"/>
    <w:rsid w:val="001248AB"/>
    <w:rsid w:val="001553A0"/>
    <w:rsid w:val="0016272C"/>
    <w:rsid w:val="00162C71"/>
    <w:rsid w:val="001C479F"/>
    <w:rsid w:val="00200C8E"/>
    <w:rsid w:val="00221E0D"/>
    <w:rsid w:val="00221EB2"/>
    <w:rsid w:val="00241D58"/>
    <w:rsid w:val="00243FE3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3F49B9"/>
    <w:rsid w:val="00421679"/>
    <w:rsid w:val="00443B00"/>
    <w:rsid w:val="00465B19"/>
    <w:rsid w:val="0046680D"/>
    <w:rsid w:val="004A1078"/>
    <w:rsid w:val="004A1303"/>
    <w:rsid w:val="004B08C1"/>
    <w:rsid w:val="004C108F"/>
    <w:rsid w:val="004C17CF"/>
    <w:rsid w:val="004C740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07C3B"/>
    <w:rsid w:val="00645FEE"/>
    <w:rsid w:val="00665636"/>
    <w:rsid w:val="00673E18"/>
    <w:rsid w:val="00684254"/>
    <w:rsid w:val="006A3BD6"/>
    <w:rsid w:val="006A41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29D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5EDC"/>
    <w:rsid w:val="00B006AC"/>
    <w:rsid w:val="00B019DB"/>
    <w:rsid w:val="00B3166C"/>
    <w:rsid w:val="00B57EDD"/>
    <w:rsid w:val="00B9510A"/>
    <w:rsid w:val="00BA143C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67A92"/>
    <w:rsid w:val="00C77201"/>
    <w:rsid w:val="00C8177B"/>
    <w:rsid w:val="00C91074"/>
    <w:rsid w:val="00C96B15"/>
    <w:rsid w:val="00CC64C2"/>
    <w:rsid w:val="00CE1ACB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632AD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E5ED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iointi.fimea.fi/LoginSP/app?AP=SPVETUMA&amp;LG=fi&amp;url=https://asiointi.fimea.fi:443/FimeaAsiointi/hakemus/ValitseAsiointiKausi&amp;p=hakukausiId%3D4978509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Kuvantamisen%20ohje%20sislttyyppi/Komplikaatioluokittelu%20kuvantamin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IMEA.EV@fimea.f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imea.fi/documents/160140/764068/16911_lomakkeet_LL720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41</Value>
      <Value>1145</Value>
      <Value>617</Value>
      <Value>2419</Value>
      <Value>18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MUAVRSSTWASF-628417917-654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https://internet.oysnet.ppshp.fi/dokumentit/_layouts/15/DocIdRedir.aspx?ID=MUAVRSSTWASF-628417917-654</Url>
      <Description>MUAVRSSTWASF-628417917-654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8469C0-9708-4596-B56B-0F5E530E118E}"/>
</file>

<file path=customXml/itemProps2.xml><?xml version="1.0" encoding="utf-8"?>
<ds:datastoreItem xmlns:ds="http://schemas.openxmlformats.org/officeDocument/2006/customXml" ds:itemID="{931DA4F8-424E-4A98-B9DC-3E19C3DD3760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ADAB0C-31BD-486B-A394-BA1F2FAC41AE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428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Komplikaatioiden ilmoittaminen ja seuranta kuv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Komplikaatioiden kirjaaminen ja ilmoittaminen kuv</dc:title>
  <dc:subject/>
  <dc:creator/>
  <cp:keywords/>
  <dc:description/>
  <cp:lastModifiedBy/>
  <cp:revision>1</cp:revision>
  <dcterms:created xsi:type="dcterms:W3CDTF">2024-04-12T11:59:00Z</dcterms:created>
  <dcterms:modified xsi:type="dcterms:W3CDTF">2024-04-12T11:59:00Z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4ad8ab3d-d34c-42c5-97fb-e13becbb58ef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2419;#5.8.5 Sisäisten tukiprosessien ohjeet|c840b187-c6b9-4f89-9f13-b4c2e4405953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/>
  </property>
  <property fmtid="{D5CDD505-2E9C-101B-9397-08002B2CF9AE}" pid="31" name="Kohde- / työntekijäryhmä">
    <vt:lpwstr>18;#PPSHP:n henkilöstö|7a49a948-31e0-4b0f-83ed-c01fa56f5934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7" name="TaxKeywordTaxHTField">
    <vt:lpwstr/>
  </property>
  <property fmtid="{D5CDD505-2E9C-101B-9397-08002B2CF9AE}" pid="38" name="Order">
    <vt:r8>336200</vt:r8>
  </property>
  <property fmtid="{D5CDD505-2E9C-101B-9397-08002B2CF9AE}" pid="39" name="SharedWithUsers">
    <vt:lpwstr/>
  </property>
</Properties>
</file>